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keepNext w:val="true"/>
        <w:widowControl w:val="false"/>
        <w:numPr>
          <w:ilvl w:val="0"/>
          <w:numId w:val="1"/>
        </w:numPr>
        <w:suppressAutoHyphens w:val="true"/>
        <w:bidi w:val="0"/>
        <w:spacing w:lineRule="atLeast" w:line="100" w:before="240" w:after="240"/>
        <w:outlineLvl w:val="0"/>
        <w:rPr>
          <w:rFonts w:ascii="Titillium" w:hAnsi="Titillium"/>
          <w:sz w:val="20"/>
          <w:szCs w:val="20"/>
        </w:rPr>
      </w:pPr>
      <w:r>
        <w:rPr>
          <w:sz w:val="24"/>
          <w:szCs w:val="24"/>
        </w:rPr>
        <w:t xml:space="preserve">Scheda di sintesi sulla rilevazione del </w:t>
      </w:r>
      <w:r>
        <w:rPr>
          <w:rFonts w:eastAsia="Times New Roman" w:cs="Times New Roman"/>
          <w:b/>
          <w:bCs/>
          <w:i/>
          <w:color w:val="auto"/>
          <w:kern w:val="0"/>
          <w:sz w:val="24"/>
          <w:szCs w:val="24"/>
          <w:lang w:val="it-IT" w:eastAsia="ar-SA" w:bidi="ar-SA"/>
        </w:rPr>
        <w:t>Nucleo</w:t>
      </w:r>
      <w:r>
        <w:rPr>
          <w:sz w:val="24"/>
          <w:szCs w:val="24"/>
        </w:rPr>
        <w:t xml:space="preserve"> di Controllo Interno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tLeast" w:line="100" w:before="240" w:after="240"/>
        <w:ind w:left="0" w:hanging="0"/>
        <w:outlineLvl w:val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Titoloprincipale"/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Data di svolgimento della rilevazione: </w:t>
      </w:r>
      <w:r>
        <w:rPr>
          <w:rFonts w:eastAsia="Times New Roman" w:cs="Times New Roman"/>
          <w:b/>
          <w:bCs/>
          <w:i/>
          <w:color w:val="auto"/>
          <w:kern w:val="0"/>
          <w:sz w:val="24"/>
          <w:szCs w:val="24"/>
          <w:lang w:val="it-IT" w:eastAsia="ar-SA" w:bidi="ar-SA"/>
        </w:rPr>
        <w:t xml:space="preserve">31 </w:t>
      </w:r>
      <w:r>
        <w:rPr>
          <w:b/>
          <w:i/>
          <w:sz w:val="24"/>
          <w:szCs w:val="24"/>
        </w:rPr>
        <w:t>maggio 2021</w:t>
      </w:r>
    </w:p>
    <w:p>
      <w:pPr>
        <w:pStyle w:val="Titoloprincipale"/>
        <w:keepNext w:val="true"/>
        <w:widowControl w:val="false"/>
        <w:numPr>
          <w:ilvl w:val="0"/>
          <w:numId w:val="1"/>
        </w:numPr>
        <w:suppressAutoHyphens w:val="true"/>
        <w:bidi w:val="0"/>
        <w:spacing w:lineRule="atLeast" w:line="100" w:before="240" w:after="240"/>
        <w:outlineLvl w:val="0"/>
        <w:rPr/>
      </w:pPr>
      <w:r>
        <w:rPr>
          <w:b/>
          <w:i/>
          <w:sz w:val="24"/>
          <w:szCs w:val="24"/>
        </w:rPr>
        <w:t xml:space="preserve">Indicare la </w:t>
      </w:r>
      <w:r>
        <w:rPr>
          <w:b/>
          <w:i/>
          <w:sz w:val="24"/>
          <w:szCs w:val="24"/>
          <w:u w:val="single"/>
        </w:rPr>
        <w:t>data di inizio e di fine</w:t>
      </w:r>
      <w:r>
        <w:rPr>
          <w:b/>
          <w:i/>
          <w:sz w:val="24"/>
          <w:szCs w:val="24"/>
        </w:rPr>
        <w:t xml:space="preserve"> della rilevazione.</w:t>
      </w:r>
    </w:p>
    <w:p>
      <w:pPr>
        <w:pStyle w:val="ListParagraph"/>
        <w:numPr>
          <w:ilvl w:val="0"/>
          <w:numId w:val="1"/>
        </w:numPr>
        <w:spacing w:lineRule="auto" w:line="276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Rilevazione effettuata dal 24 al </w:t>
      </w:r>
      <w:r>
        <w:rPr>
          <w:b/>
          <w:bCs/>
        </w:rPr>
        <w:t>31</w:t>
      </w:r>
      <w:r>
        <w:rPr>
          <w:b/>
          <w:bCs/>
        </w:rPr>
        <w:t xml:space="preserve"> maggio 2021</w:t>
      </w:r>
    </w:p>
    <w:p>
      <w:pPr>
        <w:pStyle w:val="ListParagraph"/>
        <w:numPr>
          <w:ilvl w:val="0"/>
          <w:numId w:val="1"/>
        </w:numPr>
        <w:spacing w:before="0" w:after="0"/>
        <w:ind w:left="0" w:right="0" w:hanging="0"/>
        <w:rPr>
          <w:rFonts w:ascii="Times New Roman" w:hAnsi="Times New Roman"/>
          <w:b/>
          <w:b/>
          <w:i/>
          <w:i/>
        </w:rPr>
      </w:pPr>
      <w:r>
        <w:rPr>
          <w:b/>
          <w:i/>
        </w:rPr>
        <w:t>Estensione della rilevazione (nel solo caso di amministrazioni/enti con uffici periferici)</w:t>
      </w:r>
    </w:p>
    <w:p>
      <w:pPr>
        <w:pStyle w:val="ListParagraph"/>
        <w:numPr>
          <w:ilvl w:val="0"/>
          <w:numId w:val="1"/>
        </w:numPr>
        <w:spacing w:before="0" w:after="0"/>
        <w:ind w:left="0" w:right="0" w:hanging="0"/>
        <w:rPr>
          <w:rFonts w:ascii="Times New Roman" w:hAnsi="Times New Roman"/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/>
        <w:t>Indicare il numero complessivo degli uffici periferici esistenti e, se diverse, le tipologie di uffici periferici.</w:t>
      </w:r>
    </w:p>
    <w:p>
      <w:pPr>
        <w:pStyle w:val="Normal"/>
        <w:numPr>
          <w:ilvl w:val="0"/>
          <w:numId w:val="1"/>
        </w:numPr>
        <w:spacing w:before="240" w:after="240"/>
        <w:rPr>
          <w:rFonts w:ascii="Titillium" w:hAnsi="Titillium"/>
          <w:sz w:val="20"/>
          <w:szCs w:val="20"/>
        </w:rPr>
      </w:pPr>
      <w:r>
        <w:rPr>
          <w:b/>
          <w:i/>
        </w:rPr>
        <w:t>Per la formazione del campione di uffici periferici su cui effettuare la rilevazione, indicare il criterio di selezione del campione.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/>
        </w:rPr>
      </w:pPr>
      <w:r>
        <w:rPr/>
        <w:t>Riportare l’elenco degli uffici periferici selezionati.</w:t>
      </w:r>
    </w:p>
    <w:p>
      <w:pPr>
        <w:pStyle w:val="Normal"/>
        <w:keepNext w:val="true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Garamond"/>
          <w:b/>
          <w:b/>
          <w:bCs/>
          <w:sz w:val="24"/>
          <w:szCs w:val="24"/>
        </w:rPr>
      </w:pPr>
      <w:r>
        <w:rPr>
          <w:rFonts w:cs="Garamond"/>
          <w:b/>
          <w:bCs/>
          <w:sz w:val="24"/>
          <w:szCs w:val="24"/>
        </w:rPr>
        <w:t xml:space="preserve">L'Amministrazione non ha uffici periferici e articolazioni organizzative autonome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720" w:right="0" w:hanging="0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ind w:left="0" w:right="0" w:hanging="0"/>
        <w:rPr>
          <w:rFonts w:ascii="Times New Roman" w:hAnsi="Times New Roman"/>
          <w:b/>
          <w:b/>
          <w:i/>
          <w:i/>
        </w:rPr>
      </w:pPr>
      <w:r>
        <w:rPr>
          <w:b/>
          <w:i/>
        </w:rPr>
        <w:t xml:space="preserve">Procedure e modalità seguite per la rilevazione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/>
        <w:t>Indicare il procedimento e le modalità seguite per condurre la rilevazione.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Colloquio e verifica dell'attività svolta dal Responsabile della trasparenza per riscontrare l'adempimento degli obblighi di pubblicazione;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Verifica sul sito istituzionale, anche attraverso l' utilizzo di supporti informatici;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Esame della documentazione e delle banche dati relativi ai dati oggetto di attestazione;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b/>
          <w:b/>
          <w:i/>
          <w:i/>
        </w:rPr>
      </w:pPr>
      <w:r>
        <w:rPr>
          <w:b/>
          <w:i/>
        </w:rPr>
        <w:t>Aspetti critici riscontrati nel corso della rilevazione</w:t>
      </w:r>
    </w:p>
    <w:p>
      <w:pPr>
        <w:pStyle w:val="Normal"/>
        <w:keepNext w:val="true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120"/>
        <w:ind w:left="0" w:right="0" w:hanging="0"/>
        <w:jc w:val="both"/>
        <w:rPr>
          <w:rFonts w:ascii="Times New Roman" w:hAnsi="Times New Roman" w:eastAsia="Times New Roman" w:cs="Cambria"/>
          <w:b w:val="false"/>
          <w:b w:val="false"/>
          <w:bCs w:val="false"/>
          <w:color w:val="auto"/>
          <w:kern w:val="0"/>
          <w:sz w:val="24"/>
          <w:szCs w:val="24"/>
          <w:u w:val="none"/>
          <w:lang w:val="it-IT" w:eastAsia="ar-SA" w:bidi="ar-SA"/>
        </w:rPr>
      </w:pPr>
      <w:r>
        <w:rPr>
          <w:rFonts w:eastAsia="Times New Roman" w:cs="Cambria"/>
          <w:b w:val="false"/>
          <w:bCs w:val="false"/>
          <w:color w:val="auto"/>
          <w:kern w:val="0"/>
          <w:sz w:val="24"/>
          <w:szCs w:val="24"/>
          <w:u w:val="none"/>
          <w:lang w:val="it-IT" w:eastAsia="ar-SA" w:bidi="ar-SA"/>
        </w:rPr>
        <w:t>Si evidenzia la necessità di implementare la completezza dei dati relativi alla sezione “Bandi di gara e contratti”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b/>
          <w:b/>
          <w:i/>
          <w:i/>
        </w:rPr>
      </w:pPr>
      <w:r>
        <w:rPr>
          <w:b/>
          <w:i/>
        </w:rPr>
        <w:t>Eventuale documentazione da allegare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u w:val="single"/>
        </w:rPr>
        <w:t>Nessuna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1"/>
        </w:numPr>
        <w:spacing w:lineRule="auto" w:line="360" w:before="240" w:after="240"/>
        <w:ind w:left="0" w:hanging="0"/>
        <w:rPr>
          <w:rFonts w:ascii="Times New Roman" w:hAnsi="Times New Roman" w:eastAsia="Times New Roman" w:cs="Cambria"/>
          <w:b/>
          <w:b/>
          <w:i/>
          <w:i/>
          <w:color w:val="auto"/>
          <w:kern w:val="0"/>
          <w:sz w:val="20"/>
          <w:szCs w:val="20"/>
          <w:lang w:val="it-IT" w:eastAsia="ar-SA" w:bidi="ar-SA"/>
        </w:rPr>
      </w:pPr>
      <w:r>
        <w:rPr>
          <w:rFonts w:eastAsia="Times New Roman" w:cs="Cambria"/>
          <w:b/>
          <w:i/>
          <w:color w:val="auto"/>
          <w:kern w:val="0"/>
          <w:sz w:val="20"/>
          <w:szCs w:val="20"/>
          <w:lang w:val="it-IT" w:eastAsia="ar-SA" w:bidi="ar-SA"/>
        </w:rPr>
        <w:t>Bagnacavallo, 29 giugno 2021</w:t>
      </w:r>
    </w:p>
    <w:p>
      <w:pPr>
        <w:pStyle w:val="Normal"/>
        <w:spacing w:lineRule="auto" w:line="360" w:before="0" w:after="120"/>
        <w:rPr>
          <w:rFonts w:ascii="Titillium" w:hAnsi="Titillium"/>
          <w:b/>
          <w:b/>
          <w:i/>
          <w:i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">
    <w:charset w:val="00"/>
    <w:family w:val="roman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-271780</wp:posOffset>
          </wp:positionH>
          <wp:positionV relativeFrom="page">
            <wp:posOffset>453390</wp:posOffset>
          </wp:positionV>
          <wp:extent cx="2879725" cy="341630"/>
          <wp:effectExtent l="0" t="0" r="0" b="0"/>
          <wp:wrapSquare wrapText="bothSides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</w:r>
  </w:p>
  <w:p>
    <w:pPr>
      <w:pStyle w:val="Intestazione"/>
      <w:tabs>
        <w:tab w:val="left" w:pos="3878" w:leader="none"/>
        <w:tab w:val="center" w:pos="4819" w:leader="none"/>
        <w:tab w:val="right" w:pos="9638" w:leader="none"/>
      </w:tabs>
      <w:rPr>
        <w:rFonts w:ascii="Garamond" w:hAnsi="Garamond"/>
        <w:b/>
        <w:b/>
      </w:rPr>
    </w:pPr>
    <w:r>
      <w:rPr>
        <w:rFonts w:ascii="Garamond" w:hAnsi="Garamond"/>
        <w:b/>
      </w:rPr>
      <w:tab/>
      <w:tab/>
    </w:r>
  </w:p>
  <w:p>
    <w:pPr>
      <w:pStyle w:val="Intestazione"/>
      <w:jc w:val="right"/>
      <w:rPr>
        <w:rFonts w:ascii="Titillium" w:hAnsi="Titillium" w:cs="Times New Roman"/>
        <w:b/>
        <w:b/>
        <w:sz w:val="20"/>
        <w:szCs w:val="20"/>
      </w:rPr>
    </w:pPr>
    <w:r>
      <w:rPr>
        <w:rFonts w:ascii="Titillium" w:hAnsi="Titillium"/>
        <w:b/>
        <w:sz w:val="20"/>
        <w:szCs w:val="20"/>
      </w:rPr>
      <w:t xml:space="preserve">Allegato 3 alla </w:t>
    </w:r>
    <w:r>
      <w:rPr>
        <w:rFonts w:cs="Times New Roman" w:ascii="Titillium" w:hAnsi="Titillium"/>
        <w:b/>
        <w:sz w:val="20"/>
        <w:szCs w:val="20"/>
      </w:rPr>
      <w:t>delibera ANAC n. 294/2021</w:t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ps.dbo.Foglio1$"/>
  </w:mailMerge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4"/>
      <w:vertAlign w:val="superscript"/>
    </w:rPr>
  </w:style>
  <w:style w:type="character" w:styleId="FootnoteCharacters">
    <w:name w:val="Footnote Characters"/>
    <w:basedOn w:val="DefaultParagraphFont"/>
    <w:qFormat/>
    <w:rPr>
      <w:sz w:val="14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next w:val="Normal"/>
    <w:autoRedefine/>
    <w:qFormat/>
    <w:pPr>
      <w:spacing w:before="240" w:after="240"/>
      <w:jc w:val="left"/>
      <w:outlineLvl w:val="0"/>
    </w:pPr>
    <w:rPr>
      <w:rFonts w:cs="Times New Roman"/>
      <w:b/>
      <w:bCs/>
      <w:i/>
      <w:sz w:val="36"/>
      <w:szCs w:val="3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 w:val="true"/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LibreOffice/7.0.6.2$Windows_X86_64 LibreOffice_project/144abb84a525d8e30c9dbbefa69cbbf2d8d4ae3b</Application>
  <AppVersion>15.0000</AppVersion>
  <Pages>1</Pages>
  <Words>197</Words>
  <Characters>1235</Characters>
  <CharactersWithSpaces>1439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/>
  <cp:lastPrinted>2018-02-28T15:30:00Z</cp:lastPrinted>
  <dcterms:modified xsi:type="dcterms:W3CDTF">2021-06-28T08:33:19Z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